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5" w:type="dxa"/>
        <w:tblInd w:w="63" w:type="dxa"/>
        <w:shd w:val="clear" w:color="auto" w:fill="E6E6E6"/>
        <w:tblLook w:val="0000"/>
      </w:tblPr>
      <w:tblGrid>
        <w:gridCol w:w="3245"/>
        <w:gridCol w:w="3400"/>
        <w:gridCol w:w="7800"/>
      </w:tblGrid>
      <w:tr w:rsidR="00D13E8B" w:rsidRPr="00895FA1" w:rsidTr="008B7516">
        <w:trPr>
          <w:trHeight w:val="432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FD39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FA1">
              <w:rPr>
                <w:rFonts w:ascii="Arial" w:hAnsi="Arial" w:cs="Arial"/>
                <w:b/>
                <w:bCs/>
                <w:sz w:val="22"/>
                <w:szCs w:val="22"/>
              </w:rPr>
              <w:t>Employee: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561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D39A8">
              <w:rPr>
                <w:rFonts w:ascii="Arial" w:hAnsi="Arial" w:cs="Arial"/>
                <w:b/>
                <w:bCs/>
                <w:sz w:val="22"/>
                <w:szCs w:val="22"/>
              </w:rPr>
              <w:t>Jane Doe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FD3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</w:t>
            </w:r>
            <w:r w:rsidRPr="00895FA1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9A8">
              <w:rPr>
                <w:rFonts w:ascii="Arial" w:hAnsi="Arial" w:cs="Arial"/>
                <w:b/>
                <w:sz w:val="22"/>
                <w:szCs w:val="22"/>
              </w:rPr>
              <w:t>Office Assistant</w:t>
            </w:r>
          </w:p>
        </w:tc>
      </w:tr>
      <w:tr w:rsidR="00D13E8B" w:rsidRPr="00895FA1" w:rsidTr="008B7516">
        <w:trPr>
          <w:trHeight w:val="43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FD3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Ministry</w:t>
            </w:r>
            <w:r w:rsidRPr="00895F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D39A8">
              <w:rPr>
                <w:rFonts w:ascii="Arial" w:hAnsi="Arial" w:cs="Arial"/>
                <w:b/>
                <w:sz w:val="22"/>
                <w:szCs w:val="22"/>
              </w:rPr>
              <w:t>Corporate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0B04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</w:t>
            </w:r>
            <w:r w:rsidRPr="00895F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9A8">
              <w:rPr>
                <w:rFonts w:ascii="Arial" w:hAnsi="Arial" w:cs="Arial"/>
                <w:b/>
                <w:sz w:val="22"/>
                <w:szCs w:val="22"/>
              </w:rPr>
              <w:t>Customer Relations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2A68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E8B" w:rsidRPr="00895FA1" w:rsidTr="008B7516">
        <w:trPr>
          <w:trHeight w:val="432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FD3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  <w:r w:rsidRPr="00895FA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D39A8">
              <w:rPr>
                <w:rFonts w:ascii="Arial" w:hAnsi="Arial" w:cs="Arial"/>
                <w:b/>
                <w:bCs/>
                <w:sz w:val="22"/>
                <w:szCs w:val="22"/>
              </w:rPr>
              <w:t>George Washington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D13E8B" w:rsidRPr="00895FA1" w:rsidRDefault="00D13E8B" w:rsidP="00FD3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Authorized </w:t>
            </w:r>
            <w:r w:rsidRPr="00895FA1">
              <w:rPr>
                <w:rFonts w:ascii="Arial" w:hAnsi="Arial" w:cs="Arial"/>
                <w:b/>
                <w:sz w:val="22"/>
                <w:szCs w:val="22"/>
              </w:rPr>
              <w:t>Reviewer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95F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9A8">
              <w:rPr>
                <w:rFonts w:ascii="Arial" w:hAnsi="Arial" w:cs="Arial"/>
                <w:b/>
                <w:sz w:val="22"/>
                <w:szCs w:val="22"/>
              </w:rPr>
              <w:t>George Washington, Abraham Lincoln</w:t>
            </w:r>
          </w:p>
        </w:tc>
      </w:tr>
    </w:tbl>
    <w:p w:rsidR="00E460D7" w:rsidRDefault="00E460D7">
      <w:pPr>
        <w:rPr>
          <w:rFonts w:asciiTheme="minorHAnsi" w:hAnsiTheme="minorHAnsi"/>
          <w:b/>
        </w:rPr>
      </w:pPr>
    </w:p>
    <w:p w:rsidR="004E5A35" w:rsidRPr="00E460D7" w:rsidRDefault="00E460D7">
      <w:pPr>
        <w:rPr>
          <w:rFonts w:asciiTheme="minorHAnsi" w:hAnsiTheme="minorHAnsi"/>
          <w:b/>
        </w:rPr>
      </w:pPr>
      <w:r w:rsidRPr="00E460D7">
        <w:rPr>
          <w:rFonts w:asciiTheme="minorHAnsi" w:hAnsiTheme="minorHAnsi"/>
          <w:b/>
        </w:rPr>
        <w:t>The Core Values of CRISTA Ministries:</w:t>
      </w:r>
    </w:p>
    <w:p w:rsidR="00D13E8B" w:rsidRPr="00FE5698" w:rsidRDefault="00510EA4" w:rsidP="00510EA4">
      <w:pPr>
        <w:rPr>
          <w:rFonts w:asciiTheme="minorHAnsi" w:hAnsiTheme="minorHAnsi"/>
        </w:rPr>
      </w:pPr>
      <w:r w:rsidRPr="00FE5698">
        <w:rPr>
          <w:rFonts w:asciiTheme="minorHAnsi" w:hAnsiTheme="minorHAnsi"/>
          <w:b/>
        </w:rPr>
        <w:t>CRISTA</w:t>
      </w:r>
      <w:r w:rsidRPr="00FE5698">
        <w:rPr>
          <w:rFonts w:asciiTheme="minorHAnsi" w:hAnsiTheme="minorHAnsi" w:cs="Arial"/>
          <w:b/>
          <w:sz w:val="22"/>
          <w:szCs w:val="22"/>
        </w:rPr>
        <w:t xml:space="preserve"> employees are </w:t>
      </w:r>
      <w:r w:rsidR="00D13E8B" w:rsidRPr="00E460D7">
        <w:rPr>
          <w:rFonts w:asciiTheme="minorHAnsi" w:hAnsiTheme="minorHAnsi"/>
          <w:b/>
          <w:i/>
          <w:szCs w:val="24"/>
        </w:rPr>
        <w:t>CHRIST-CENTERED</w:t>
      </w:r>
      <w:r w:rsidRPr="00FE5698">
        <w:rPr>
          <w:rFonts w:asciiTheme="minorHAnsi" w:hAnsiTheme="minorHAnsi"/>
          <w:b/>
          <w:sz w:val="28"/>
          <w:szCs w:val="28"/>
        </w:rPr>
        <w:t xml:space="preserve">: </w:t>
      </w:r>
      <w:r w:rsidR="00E460D7" w:rsidRPr="00E460D7">
        <w:rPr>
          <w:rFonts w:asciiTheme="minorHAnsi" w:hAnsiTheme="minorHAnsi"/>
        </w:rPr>
        <w:t>They are</w:t>
      </w:r>
      <w:r w:rsidR="00E460D7">
        <w:rPr>
          <w:rFonts w:asciiTheme="minorHAnsi" w:hAnsiTheme="minorHAnsi"/>
          <w:b/>
          <w:sz w:val="28"/>
          <w:szCs w:val="28"/>
        </w:rPr>
        <w:t xml:space="preserve"> </w:t>
      </w:r>
      <w:r w:rsidR="006C69AC" w:rsidRPr="00FE5698">
        <w:rPr>
          <w:rFonts w:asciiTheme="minorHAnsi" w:hAnsiTheme="minorHAnsi"/>
        </w:rPr>
        <w:t>continually grow</w:t>
      </w:r>
      <w:r w:rsidR="00FE5698">
        <w:rPr>
          <w:rFonts w:asciiTheme="minorHAnsi" w:hAnsiTheme="minorHAnsi"/>
        </w:rPr>
        <w:t>ing</w:t>
      </w:r>
      <w:r w:rsidR="00D13E8B" w:rsidRPr="00FE5698">
        <w:rPr>
          <w:rFonts w:asciiTheme="minorHAnsi" w:hAnsiTheme="minorHAnsi"/>
        </w:rPr>
        <w:t xml:space="preserve"> in relationship with Christ</w:t>
      </w:r>
      <w:r w:rsidRPr="00FE5698">
        <w:rPr>
          <w:rFonts w:asciiTheme="minorHAnsi" w:hAnsiTheme="minorHAnsi"/>
        </w:rPr>
        <w:t xml:space="preserve">, </w:t>
      </w:r>
      <w:r w:rsidR="00D13E8B" w:rsidRPr="00FE5698">
        <w:rPr>
          <w:rFonts w:asciiTheme="minorHAnsi" w:hAnsiTheme="minorHAnsi"/>
        </w:rPr>
        <w:t>called to the mission of CRISTA</w:t>
      </w:r>
      <w:r w:rsidRPr="00FE5698">
        <w:rPr>
          <w:rFonts w:asciiTheme="minorHAnsi" w:hAnsiTheme="minorHAnsi"/>
        </w:rPr>
        <w:t xml:space="preserve">, </w:t>
      </w:r>
      <w:r w:rsidR="00FE5698">
        <w:rPr>
          <w:rFonts w:asciiTheme="minorHAnsi" w:hAnsiTheme="minorHAnsi"/>
        </w:rPr>
        <w:t>liv</w:t>
      </w:r>
      <w:r w:rsidR="00E460D7">
        <w:rPr>
          <w:rFonts w:asciiTheme="minorHAnsi" w:hAnsiTheme="minorHAnsi"/>
        </w:rPr>
        <w:t>ing</w:t>
      </w:r>
      <w:r w:rsidR="00FE5698">
        <w:rPr>
          <w:rFonts w:asciiTheme="minorHAnsi" w:hAnsiTheme="minorHAnsi"/>
        </w:rPr>
        <w:t xml:space="preserve"> out a witness</w:t>
      </w:r>
      <w:r w:rsidR="00E460D7">
        <w:rPr>
          <w:rFonts w:asciiTheme="minorHAnsi" w:hAnsiTheme="minorHAnsi"/>
        </w:rPr>
        <w:t>, doing what</w:t>
      </w:r>
      <w:r w:rsidR="00D13E8B" w:rsidRPr="00FE5698">
        <w:rPr>
          <w:rFonts w:asciiTheme="minorHAnsi" w:hAnsiTheme="minorHAnsi"/>
        </w:rPr>
        <w:t xml:space="preserve"> </w:t>
      </w:r>
      <w:r w:rsidR="006C69AC" w:rsidRPr="00FE5698">
        <w:rPr>
          <w:rFonts w:asciiTheme="minorHAnsi" w:hAnsiTheme="minorHAnsi"/>
        </w:rPr>
        <w:t>they say they</w:t>
      </w:r>
      <w:r w:rsidR="00D13E8B" w:rsidRPr="00FE5698">
        <w:rPr>
          <w:rFonts w:asciiTheme="minorHAnsi" w:hAnsiTheme="minorHAnsi"/>
        </w:rPr>
        <w:t xml:space="preserve"> will do</w:t>
      </w:r>
      <w:r w:rsidRPr="00FE5698">
        <w:rPr>
          <w:rFonts w:asciiTheme="minorHAnsi" w:hAnsiTheme="minorHAnsi"/>
        </w:rPr>
        <w:t xml:space="preserve">, </w:t>
      </w:r>
      <w:r w:rsidR="006C69AC" w:rsidRPr="00FE5698">
        <w:rPr>
          <w:rFonts w:asciiTheme="minorHAnsi" w:hAnsiTheme="minorHAnsi"/>
        </w:rPr>
        <w:t xml:space="preserve">and </w:t>
      </w:r>
      <w:r w:rsidR="009D3B72">
        <w:rPr>
          <w:rFonts w:asciiTheme="minorHAnsi" w:hAnsiTheme="minorHAnsi"/>
        </w:rPr>
        <w:t xml:space="preserve">they </w:t>
      </w:r>
      <w:r w:rsidR="006C69AC" w:rsidRPr="00FE5698">
        <w:rPr>
          <w:rFonts w:asciiTheme="minorHAnsi" w:hAnsiTheme="minorHAnsi"/>
        </w:rPr>
        <w:t>speak</w:t>
      </w:r>
      <w:r w:rsidR="00D13E8B" w:rsidRPr="00FE5698">
        <w:rPr>
          <w:rFonts w:asciiTheme="minorHAnsi" w:hAnsiTheme="minorHAnsi"/>
        </w:rPr>
        <w:t xml:space="preserve"> the truth in love</w:t>
      </w:r>
    </w:p>
    <w:p w:rsidR="00510EA4" w:rsidRPr="00FE5698" w:rsidRDefault="00510EA4" w:rsidP="00510EA4">
      <w:pPr>
        <w:rPr>
          <w:rFonts w:asciiTheme="minorHAnsi" w:hAnsiTheme="minorHAnsi"/>
        </w:rPr>
      </w:pPr>
      <w:r w:rsidRPr="00FE5698">
        <w:rPr>
          <w:rFonts w:asciiTheme="minorHAnsi" w:hAnsiTheme="minorHAnsi"/>
          <w:b/>
        </w:rPr>
        <w:t>CRISTA employees are</w:t>
      </w:r>
      <w:r w:rsidRPr="00FE5698">
        <w:rPr>
          <w:rFonts w:asciiTheme="minorHAnsi" w:hAnsiTheme="minorHAnsi"/>
        </w:rPr>
        <w:t xml:space="preserve"> </w:t>
      </w:r>
      <w:r w:rsidR="00D13E8B" w:rsidRPr="00E460D7">
        <w:rPr>
          <w:rFonts w:asciiTheme="minorHAnsi" w:hAnsiTheme="minorHAnsi"/>
          <w:b/>
          <w:i/>
          <w:szCs w:val="24"/>
        </w:rPr>
        <w:t>PROFESSIONAL</w:t>
      </w:r>
      <w:r w:rsidRPr="00FE5698">
        <w:rPr>
          <w:rFonts w:asciiTheme="minorHAnsi" w:hAnsiTheme="minorHAnsi"/>
          <w:b/>
          <w:sz w:val="28"/>
          <w:szCs w:val="28"/>
        </w:rPr>
        <w:t xml:space="preserve">: </w:t>
      </w:r>
      <w:r w:rsidR="006C69AC" w:rsidRPr="00FE5698">
        <w:rPr>
          <w:rFonts w:asciiTheme="minorHAnsi" w:hAnsiTheme="minorHAnsi"/>
        </w:rPr>
        <w:t>They b</w:t>
      </w:r>
      <w:r w:rsidRPr="00FE5698">
        <w:rPr>
          <w:rFonts w:asciiTheme="minorHAnsi" w:hAnsiTheme="minorHAnsi"/>
        </w:rPr>
        <w:t>uild</w:t>
      </w:r>
      <w:r w:rsidR="00D13E8B" w:rsidRPr="00FE5698">
        <w:rPr>
          <w:rFonts w:asciiTheme="minorHAnsi" w:hAnsiTheme="minorHAnsi"/>
        </w:rPr>
        <w:t xml:space="preserve"> powerful teams</w:t>
      </w:r>
      <w:r w:rsidR="006C69AC" w:rsidRPr="00FE5698">
        <w:rPr>
          <w:rFonts w:asciiTheme="minorHAnsi" w:hAnsiTheme="minorHAnsi"/>
        </w:rPr>
        <w:t>, c</w:t>
      </w:r>
      <w:r w:rsidRPr="00FE5698">
        <w:rPr>
          <w:rFonts w:asciiTheme="minorHAnsi" w:hAnsiTheme="minorHAnsi"/>
        </w:rPr>
        <w:t>ast</w:t>
      </w:r>
      <w:r w:rsidR="00D13E8B" w:rsidRPr="00FE5698">
        <w:rPr>
          <w:rFonts w:asciiTheme="minorHAnsi" w:hAnsiTheme="minorHAnsi"/>
        </w:rPr>
        <w:t xml:space="preserve"> a clear motivating vision</w:t>
      </w:r>
      <w:r w:rsidR="006C69AC" w:rsidRPr="00FE5698">
        <w:rPr>
          <w:rFonts w:asciiTheme="minorHAnsi" w:hAnsiTheme="minorHAnsi"/>
        </w:rPr>
        <w:t>, a</w:t>
      </w:r>
      <w:r w:rsidRPr="00FE5698">
        <w:rPr>
          <w:rFonts w:asciiTheme="minorHAnsi" w:hAnsiTheme="minorHAnsi"/>
        </w:rPr>
        <w:t>chieve</w:t>
      </w:r>
      <w:r w:rsidR="00D13E8B" w:rsidRPr="00FE5698">
        <w:rPr>
          <w:rFonts w:asciiTheme="minorHAnsi" w:hAnsiTheme="minorHAnsi"/>
        </w:rPr>
        <w:t xml:space="preserve"> results</w:t>
      </w:r>
      <w:r w:rsidR="006C69AC" w:rsidRPr="00FE5698">
        <w:rPr>
          <w:rFonts w:asciiTheme="minorHAnsi" w:hAnsiTheme="minorHAnsi"/>
        </w:rPr>
        <w:t>, d</w:t>
      </w:r>
      <w:r w:rsidRPr="00FE5698">
        <w:rPr>
          <w:rFonts w:asciiTheme="minorHAnsi" w:hAnsiTheme="minorHAnsi"/>
        </w:rPr>
        <w:t>emonstrate</w:t>
      </w:r>
      <w:r w:rsidR="00D13E8B" w:rsidRPr="00FE5698">
        <w:rPr>
          <w:rFonts w:asciiTheme="minorHAnsi" w:hAnsiTheme="minorHAnsi"/>
        </w:rPr>
        <w:t xml:space="preserve"> excellence in performance</w:t>
      </w:r>
      <w:r w:rsidR="00E460D7">
        <w:rPr>
          <w:rFonts w:asciiTheme="minorHAnsi" w:hAnsiTheme="minorHAnsi"/>
        </w:rPr>
        <w:t>,</w:t>
      </w:r>
      <w:r w:rsidR="006C69AC" w:rsidRPr="00FE5698">
        <w:rPr>
          <w:rFonts w:asciiTheme="minorHAnsi" w:hAnsiTheme="minorHAnsi"/>
        </w:rPr>
        <w:t xml:space="preserve"> and </w:t>
      </w:r>
      <w:r w:rsidR="009D3B72">
        <w:rPr>
          <w:rFonts w:asciiTheme="minorHAnsi" w:hAnsiTheme="minorHAnsi"/>
        </w:rPr>
        <w:t xml:space="preserve">they </w:t>
      </w:r>
      <w:r w:rsidR="006C69AC" w:rsidRPr="00FE5698">
        <w:rPr>
          <w:rFonts w:asciiTheme="minorHAnsi" w:hAnsiTheme="minorHAnsi"/>
        </w:rPr>
        <w:t>d</w:t>
      </w:r>
      <w:r w:rsidRPr="00FE5698">
        <w:rPr>
          <w:rFonts w:asciiTheme="minorHAnsi" w:hAnsiTheme="minorHAnsi"/>
        </w:rPr>
        <w:t>evelop</w:t>
      </w:r>
      <w:r w:rsidR="00D13E8B" w:rsidRPr="00FE5698">
        <w:rPr>
          <w:rFonts w:asciiTheme="minorHAnsi" w:hAnsiTheme="minorHAnsi"/>
        </w:rPr>
        <w:t xml:space="preserve"> other</w:t>
      </w:r>
      <w:r w:rsidRPr="00FE5698">
        <w:rPr>
          <w:rFonts w:asciiTheme="minorHAnsi" w:hAnsiTheme="minorHAnsi"/>
        </w:rPr>
        <w:t>s</w:t>
      </w:r>
    </w:p>
    <w:p w:rsidR="00EF27A7" w:rsidRPr="00FE5698" w:rsidRDefault="00510EA4" w:rsidP="00510EA4">
      <w:pPr>
        <w:rPr>
          <w:rFonts w:asciiTheme="minorHAnsi" w:hAnsiTheme="minorHAnsi"/>
        </w:rPr>
      </w:pPr>
      <w:r w:rsidRPr="00FE5698">
        <w:rPr>
          <w:rFonts w:asciiTheme="minorHAnsi" w:hAnsiTheme="minorHAnsi"/>
          <w:b/>
        </w:rPr>
        <w:t>CRISTA employees are</w:t>
      </w:r>
      <w:r w:rsidRPr="00FE5698">
        <w:rPr>
          <w:rFonts w:asciiTheme="minorHAnsi" w:hAnsiTheme="minorHAnsi"/>
        </w:rPr>
        <w:t xml:space="preserve"> </w:t>
      </w:r>
      <w:r w:rsidR="00D13E8B" w:rsidRPr="00E460D7">
        <w:rPr>
          <w:rFonts w:asciiTheme="minorHAnsi" w:hAnsiTheme="minorHAnsi"/>
          <w:b/>
          <w:i/>
          <w:szCs w:val="24"/>
        </w:rPr>
        <w:t>SERVICE-DRIVEN</w:t>
      </w:r>
      <w:r w:rsidRPr="00FE5698">
        <w:rPr>
          <w:rFonts w:asciiTheme="minorHAnsi" w:hAnsiTheme="minorHAnsi"/>
          <w:b/>
          <w:sz w:val="28"/>
          <w:szCs w:val="28"/>
        </w:rPr>
        <w:t xml:space="preserve">: </w:t>
      </w:r>
      <w:r w:rsidR="00E460D7" w:rsidRPr="00E460D7">
        <w:rPr>
          <w:rFonts w:asciiTheme="minorHAnsi" w:hAnsiTheme="minorHAnsi"/>
        </w:rPr>
        <w:t>They a</w:t>
      </w:r>
      <w:r w:rsidR="006C69AC" w:rsidRPr="00FE5698">
        <w:rPr>
          <w:rFonts w:asciiTheme="minorHAnsi" w:hAnsiTheme="minorHAnsi"/>
        </w:rPr>
        <w:t>re</w:t>
      </w:r>
      <w:r w:rsidR="006C69AC" w:rsidRPr="00FE5698">
        <w:rPr>
          <w:rFonts w:asciiTheme="minorHAnsi" w:hAnsiTheme="minorHAnsi"/>
          <w:b/>
          <w:sz w:val="28"/>
          <w:szCs w:val="28"/>
        </w:rPr>
        <w:t xml:space="preserve"> </w:t>
      </w:r>
      <w:r w:rsidR="006C69AC" w:rsidRPr="00FE5698">
        <w:rPr>
          <w:rFonts w:asciiTheme="minorHAnsi" w:hAnsiTheme="minorHAnsi"/>
        </w:rPr>
        <w:t>e</w:t>
      </w:r>
      <w:r w:rsidR="00D13E8B" w:rsidRPr="00FE5698">
        <w:rPr>
          <w:rFonts w:asciiTheme="minorHAnsi" w:hAnsiTheme="minorHAnsi"/>
        </w:rPr>
        <w:t>mpowered to meet beneficiary/customer needs</w:t>
      </w:r>
      <w:r w:rsidR="006C69AC" w:rsidRPr="00FE5698">
        <w:rPr>
          <w:rFonts w:asciiTheme="minorHAnsi" w:hAnsiTheme="minorHAnsi"/>
        </w:rPr>
        <w:t>, l</w:t>
      </w:r>
      <w:r w:rsidRPr="00FE5698">
        <w:rPr>
          <w:rFonts w:asciiTheme="minorHAnsi" w:hAnsiTheme="minorHAnsi"/>
        </w:rPr>
        <w:t>ead</w:t>
      </w:r>
      <w:r w:rsidR="00D13E8B" w:rsidRPr="00FE5698">
        <w:rPr>
          <w:rFonts w:asciiTheme="minorHAnsi" w:hAnsiTheme="minorHAnsi"/>
        </w:rPr>
        <w:t xml:space="preserve"> through example and action</w:t>
      </w:r>
      <w:r w:rsidR="006C69AC" w:rsidRPr="00FE5698">
        <w:rPr>
          <w:rFonts w:asciiTheme="minorHAnsi" w:hAnsiTheme="minorHAnsi"/>
        </w:rPr>
        <w:t>,</w:t>
      </w:r>
    </w:p>
    <w:p w:rsidR="00D13E8B" w:rsidRDefault="006C69AC" w:rsidP="00510EA4">
      <w:pPr>
        <w:rPr>
          <w:rFonts w:asciiTheme="minorHAnsi" w:hAnsiTheme="minorHAnsi"/>
        </w:rPr>
      </w:pPr>
      <w:r w:rsidRPr="00FE5698">
        <w:rPr>
          <w:rFonts w:asciiTheme="minorHAnsi" w:hAnsiTheme="minorHAnsi"/>
        </w:rPr>
        <w:t>steward</w:t>
      </w:r>
      <w:r w:rsidR="00D13E8B" w:rsidRPr="00FE5698">
        <w:rPr>
          <w:rFonts w:asciiTheme="minorHAnsi" w:hAnsiTheme="minorHAnsi"/>
        </w:rPr>
        <w:t xml:space="preserve"> resources to accomplish goals</w:t>
      </w:r>
      <w:r w:rsidRPr="00FE5698">
        <w:rPr>
          <w:rFonts w:asciiTheme="minorHAnsi" w:hAnsiTheme="minorHAnsi"/>
        </w:rPr>
        <w:t>, c</w:t>
      </w:r>
      <w:r w:rsidR="00510EA4" w:rsidRPr="00FE5698">
        <w:rPr>
          <w:rFonts w:asciiTheme="minorHAnsi" w:hAnsiTheme="minorHAnsi"/>
        </w:rPr>
        <w:t>reate</w:t>
      </w:r>
      <w:r w:rsidR="00D13E8B" w:rsidRPr="00FE5698">
        <w:rPr>
          <w:rFonts w:asciiTheme="minorHAnsi" w:hAnsiTheme="minorHAnsi"/>
        </w:rPr>
        <w:t xml:space="preserve"> innovative solutions</w:t>
      </w:r>
      <w:r w:rsidR="00E460D7">
        <w:rPr>
          <w:rFonts w:asciiTheme="minorHAnsi" w:hAnsiTheme="minorHAnsi"/>
        </w:rPr>
        <w:t>,</w:t>
      </w:r>
      <w:r w:rsidRPr="00FE5698">
        <w:rPr>
          <w:rFonts w:asciiTheme="minorHAnsi" w:hAnsiTheme="minorHAnsi"/>
        </w:rPr>
        <w:t xml:space="preserve"> and </w:t>
      </w:r>
      <w:r w:rsidR="00E460D7">
        <w:rPr>
          <w:rFonts w:asciiTheme="minorHAnsi" w:hAnsiTheme="minorHAnsi"/>
        </w:rPr>
        <w:t xml:space="preserve">demonstrate emotional </w:t>
      </w:r>
      <w:r w:rsidR="00D13E8B" w:rsidRPr="00FE5698">
        <w:rPr>
          <w:rFonts w:asciiTheme="minorHAnsi" w:hAnsiTheme="minorHAnsi"/>
        </w:rPr>
        <w:t>matur</w:t>
      </w:r>
      <w:r w:rsidR="00E460D7">
        <w:rPr>
          <w:rFonts w:asciiTheme="minorHAnsi" w:hAnsiTheme="minorHAnsi"/>
        </w:rPr>
        <w:t>ity</w:t>
      </w:r>
    </w:p>
    <w:p w:rsidR="00E0767B" w:rsidRPr="00FE5698" w:rsidRDefault="00E0767B" w:rsidP="00510EA4">
      <w:pPr>
        <w:rPr>
          <w:rFonts w:asciiTheme="minorHAnsi" w:hAnsiTheme="minorHAnsi"/>
        </w:rPr>
      </w:pPr>
    </w:p>
    <w:p w:rsidR="00E0767B" w:rsidRPr="004B4574" w:rsidRDefault="00E0767B" w:rsidP="00E0767B">
      <w:pPr>
        <w:rPr>
          <w:rFonts w:asciiTheme="minorHAnsi" w:hAnsiTheme="minorHAnsi" w:cs="Arial"/>
          <w:b/>
          <w:szCs w:val="24"/>
        </w:rPr>
      </w:pPr>
      <w:r w:rsidRPr="00DA5D9B">
        <w:rPr>
          <w:rFonts w:asciiTheme="minorHAnsi" w:hAnsiTheme="minorHAnsi" w:cs="Arial"/>
          <w:b/>
          <w:color w:val="FF0000"/>
          <w:szCs w:val="24"/>
        </w:rPr>
        <w:t>Note:</w:t>
      </w:r>
      <w:r w:rsidRPr="004B4574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In order to log a new entry, </w:t>
      </w:r>
      <w:r w:rsidRPr="004B4574">
        <w:rPr>
          <w:rFonts w:asciiTheme="minorHAnsi" w:hAnsiTheme="minorHAnsi" w:cs="Arial"/>
          <w:b/>
          <w:szCs w:val="24"/>
        </w:rPr>
        <w:t>in</w:t>
      </w:r>
      <w:r>
        <w:rPr>
          <w:rFonts w:asciiTheme="minorHAnsi" w:hAnsiTheme="minorHAnsi" w:cs="Arial"/>
          <w:b/>
          <w:szCs w:val="24"/>
        </w:rPr>
        <w:t>sert a blank row above your last entry: 1) move your cursor over the “Date” cell of your most recent log entry until the arrow appears, 2) double-click to highlight the row, 3) right click and select</w:t>
      </w:r>
      <w:r w:rsidRPr="004B4574">
        <w:rPr>
          <w:rFonts w:asciiTheme="minorHAnsi" w:hAnsiTheme="minorHAnsi" w:cs="Arial"/>
          <w:b/>
          <w:szCs w:val="24"/>
        </w:rPr>
        <w:t xml:space="preserve"> “insert/insert rows above”.   </w:t>
      </w:r>
    </w:p>
    <w:p w:rsidR="00D13E8B" w:rsidRPr="00D13E8B" w:rsidRDefault="00D13E8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098"/>
        <w:gridCol w:w="1170"/>
        <w:gridCol w:w="990"/>
        <w:gridCol w:w="4320"/>
        <w:gridCol w:w="4320"/>
        <w:gridCol w:w="1260"/>
        <w:gridCol w:w="1350"/>
      </w:tblGrid>
      <w:tr w:rsidR="00B027FE" w:rsidRPr="00FE5698" w:rsidTr="008B7516">
        <w:trPr>
          <w:trHeight w:val="63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8172B6" w:rsidP="0032658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E5698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  <w:p w:rsidR="008172B6" w:rsidRPr="00FE5698" w:rsidRDefault="008172B6" w:rsidP="0032658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8172B6" w:rsidP="001B29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E5698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  <w:p w:rsidR="008172B6" w:rsidRPr="00FE5698" w:rsidRDefault="008172B6" w:rsidP="001B29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8172B6" w:rsidP="00B561CB">
            <w:pPr>
              <w:rPr>
                <w:rFonts w:ascii="Calibri" w:hAnsi="Calibri" w:cstheme="minorHAnsi"/>
                <w:sz w:val="22"/>
                <w:szCs w:val="24"/>
              </w:rPr>
            </w:pPr>
            <w:r w:rsidRPr="00FE5698">
              <w:rPr>
                <w:rFonts w:ascii="Calibri" w:hAnsi="Calibri" w:cs="Arial"/>
                <w:b/>
                <w:sz w:val="22"/>
                <w:szCs w:val="22"/>
              </w:rPr>
              <w:t>Present</w:t>
            </w:r>
            <w:r w:rsidR="008603D3" w:rsidRPr="00FE5698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</w:p>
          <w:p w:rsidR="00B561CB" w:rsidRPr="00FE5698" w:rsidRDefault="00B561CB" w:rsidP="00B561C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8172B6" w:rsidP="00D0531E">
            <w:pPr>
              <w:rPr>
                <w:rFonts w:ascii="Calibri" w:hAnsi="Calibri" w:cs="Arial"/>
                <w:sz w:val="22"/>
                <w:szCs w:val="22"/>
              </w:rPr>
            </w:pPr>
            <w:r w:rsidRPr="00FE5698">
              <w:rPr>
                <w:rFonts w:ascii="Calibri" w:hAnsi="Calibri" w:cs="Arial"/>
                <w:b/>
                <w:sz w:val="22"/>
                <w:szCs w:val="22"/>
              </w:rPr>
              <w:t>K</w:t>
            </w:r>
            <w:r w:rsidR="00D0531E">
              <w:rPr>
                <w:rFonts w:ascii="Calibri" w:hAnsi="Calibri" w:cs="Arial"/>
                <w:b/>
                <w:sz w:val="22"/>
                <w:szCs w:val="22"/>
              </w:rPr>
              <w:t>ey Performance Issues Discussed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E0767B" w:rsidP="00E0767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 Items, timelines, expectations</w:t>
            </w:r>
            <w:r w:rsidR="008603D3" w:rsidRPr="00FE5698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8172B6" w:rsidP="00D0531E">
            <w:pPr>
              <w:rPr>
                <w:rFonts w:ascii="Calibri" w:hAnsi="Calibri" w:cs="Arial"/>
                <w:sz w:val="22"/>
                <w:szCs w:val="22"/>
              </w:rPr>
            </w:pPr>
            <w:r w:rsidRPr="00FE5698">
              <w:rPr>
                <w:rFonts w:ascii="Calibri" w:hAnsi="Calibri" w:cs="Arial"/>
                <w:b/>
                <w:sz w:val="22"/>
                <w:szCs w:val="22"/>
              </w:rPr>
              <w:t>Resources offered</w:t>
            </w:r>
            <w:r w:rsidRPr="00FE56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72B6" w:rsidRPr="00FE5698" w:rsidRDefault="008172B6" w:rsidP="00D0531E">
            <w:pPr>
              <w:rPr>
                <w:rFonts w:ascii="Calibri" w:hAnsi="Calibri" w:cs="Arial"/>
                <w:sz w:val="22"/>
                <w:szCs w:val="22"/>
              </w:rPr>
            </w:pPr>
            <w:r w:rsidRPr="00FE5698">
              <w:rPr>
                <w:rFonts w:ascii="Calibri" w:hAnsi="Calibri" w:cs="Arial"/>
                <w:b/>
                <w:sz w:val="22"/>
                <w:szCs w:val="22"/>
              </w:rPr>
              <w:t>Follow up Date</w:t>
            </w:r>
          </w:p>
        </w:tc>
      </w:tr>
      <w:tr w:rsidR="00D0531E" w:rsidRPr="00FE5698" w:rsidTr="008B7516">
        <w:trPr>
          <w:trHeight w:val="764"/>
        </w:trPr>
        <w:tc>
          <w:tcPr>
            <w:tcW w:w="1098" w:type="dxa"/>
            <w:tcBorders>
              <w:bottom w:val="single" w:sz="4" w:space="0" w:color="auto"/>
            </w:tcBorders>
          </w:tcPr>
          <w:p w:rsidR="00D0531E" w:rsidRPr="00FE5698" w:rsidRDefault="00D0531E" w:rsidP="0032658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E5698">
              <w:rPr>
                <w:rFonts w:ascii="Calibri" w:hAnsi="Calibri" w:cstheme="minorHAnsi"/>
                <w:sz w:val="22"/>
                <w:szCs w:val="24"/>
              </w:rPr>
              <w:t>10/15/1</w:t>
            </w:r>
            <w:r>
              <w:rPr>
                <w:rFonts w:ascii="Calibri" w:hAnsi="Calibri" w:cstheme="minorHAnsi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531E" w:rsidRPr="00FE5698" w:rsidRDefault="00FD39A8" w:rsidP="001B293F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theme="minorHAnsi"/>
                <w:sz w:val="22"/>
                <w:szCs w:val="24"/>
              </w:rPr>
              <w:t>Supv</w:t>
            </w:r>
            <w:proofErr w:type="spellEnd"/>
            <w:r>
              <w:rPr>
                <w:rFonts w:ascii="Calibri" w:hAnsi="Calibri" w:cstheme="minorHAnsi"/>
                <w:sz w:val="22"/>
                <w:szCs w:val="24"/>
              </w:rPr>
              <w:t xml:space="preserve"> Office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0531E" w:rsidRPr="00FE5698" w:rsidRDefault="00FD39A8" w:rsidP="00B561C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Jane Doe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0531E" w:rsidRPr="00FE5698" w:rsidRDefault="00E0767B" w:rsidP="0093426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t>We r</w:t>
            </w:r>
            <w:r w:rsidR="00FD39A8">
              <w:rPr>
                <w:rFonts w:ascii="Calibri" w:hAnsi="Calibri" w:cstheme="minorHAnsi"/>
                <w:sz w:val="22"/>
                <w:szCs w:val="24"/>
              </w:rPr>
              <w:t xml:space="preserve">eviewed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your </w:t>
            </w:r>
            <w:r w:rsidR="00FD39A8">
              <w:rPr>
                <w:rFonts w:ascii="Calibri" w:hAnsi="Calibri" w:cstheme="minorHAnsi"/>
                <w:sz w:val="22"/>
                <w:szCs w:val="24"/>
              </w:rPr>
              <w:t xml:space="preserve">job description to </w:t>
            </w:r>
            <w:r w:rsidR="00C747D0">
              <w:rPr>
                <w:rFonts w:ascii="Calibri" w:hAnsi="Calibri" w:cstheme="minorHAnsi"/>
                <w:sz w:val="22"/>
                <w:szCs w:val="24"/>
              </w:rPr>
              <w:t>clarify performance expectations</w:t>
            </w:r>
            <w:r w:rsidR="0093426E">
              <w:rPr>
                <w:rFonts w:ascii="Calibri" w:hAnsi="Calibri" w:cstheme="minorHAnsi"/>
                <w:sz w:val="22"/>
                <w:szCs w:val="24"/>
              </w:rPr>
              <w:t xml:space="preserve"> and</w:t>
            </w:r>
            <w:r w:rsidR="008B7516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4"/>
              </w:rPr>
              <w:t>discussed the fact that s</w:t>
            </w:r>
            <w:r w:rsidR="00156252">
              <w:rPr>
                <w:rFonts w:ascii="Calibri" w:hAnsi="Calibri" w:cstheme="minorHAnsi"/>
                <w:sz w:val="22"/>
                <w:szCs w:val="24"/>
              </w:rPr>
              <w:t>everal customers have re</w:t>
            </w:r>
            <w:r w:rsidR="00211F7E">
              <w:rPr>
                <w:rFonts w:ascii="Calibri" w:hAnsi="Calibri" w:cstheme="minorHAnsi"/>
                <w:sz w:val="22"/>
                <w:szCs w:val="24"/>
              </w:rPr>
              <w:t xml:space="preserve">ported that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it </w:t>
            </w:r>
            <w:r w:rsidR="00211F7E">
              <w:rPr>
                <w:rFonts w:ascii="Calibri" w:hAnsi="Calibri" w:cstheme="minorHAnsi"/>
                <w:sz w:val="22"/>
                <w:szCs w:val="24"/>
              </w:rPr>
              <w:t xml:space="preserve">takes 3-5 days for </w:t>
            </w:r>
            <w:r>
              <w:rPr>
                <w:rFonts w:ascii="Calibri" w:hAnsi="Calibri" w:cstheme="minorHAnsi"/>
                <w:sz w:val="22"/>
                <w:szCs w:val="24"/>
              </w:rPr>
              <w:t>you</w:t>
            </w:r>
            <w:r w:rsidR="00211F7E">
              <w:rPr>
                <w:rFonts w:ascii="Calibri" w:hAnsi="Calibri" w:cstheme="minorHAnsi"/>
                <w:sz w:val="22"/>
                <w:szCs w:val="24"/>
              </w:rPr>
              <w:t xml:space="preserve"> to get back to them</w:t>
            </w:r>
            <w:r w:rsidR="00FD39A8">
              <w:rPr>
                <w:rFonts w:ascii="Calibri" w:hAnsi="Calibri" w:cstheme="minorHAnsi"/>
                <w:sz w:val="22"/>
                <w:szCs w:val="24"/>
              </w:rPr>
              <w:t xml:space="preserve">. 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You are always quick to assist </w:t>
            </w:r>
            <w:r w:rsidR="008F24CE">
              <w:rPr>
                <w:rFonts w:ascii="Calibri" w:hAnsi="Calibri" w:cstheme="minorHAnsi"/>
                <w:sz w:val="22"/>
                <w:szCs w:val="24"/>
              </w:rPr>
              <w:t>co-workers</w:t>
            </w:r>
            <w:r w:rsidR="00FD39A8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  <w:r w:rsidR="00C747D0">
              <w:rPr>
                <w:rFonts w:ascii="Calibri" w:hAnsi="Calibri" w:cstheme="minorHAnsi"/>
                <w:sz w:val="22"/>
                <w:szCs w:val="24"/>
              </w:rPr>
              <w:t>with their work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 and that</w:t>
            </w:r>
            <w:r w:rsidR="00C747D0">
              <w:rPr>
                <w:rFonts w:ascii="Calibri" w:hAnsi="Calibri" w:cstheme="minorHAnsi"/>
                <w:sz w:val="22"/>
                <w:szCs w:val="24"/>
              </w:rPr>
              <w:t xml:space="preserve"> helpfulness </w:t>
            </w:r>
            <w:r w:rsidR="0087637A">
              <w:rPr>
                <w:rFonts w:ascii="Calibri" w:hAnsi="Calibri" w:cstheme="minorHAnsi"/>
                <w:sz w:val="22"/>
                <w:szCs w:val="24"/>
              </w:rPr>
              <w:t xml:space="preserve">is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truly </w:t>
            </w:r>
            <w:r w:rsidR="0087637A">
              <w:rPr>
                <w:rFonts w:ascii="Calibri" w:hAnsi="Calibri" w:cstheme="minorHAnsi"/>
                <w:sz w:val="22"/>
                <w:szCs w:val="24"/>
              </w:rPr>
              <w:t xml:space="preserve">appreciated,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but </w:t>
            </w:r>
            <w:r w:rsidR="00211F7E">
              <w:rPr>
                <w:rFonts w:ascii="Calibri" w:hAnsi="Calibri" w:cstheme="minorHAnsi"/>
                <w:sz w:val="22"/>
                <w:szCs w:val="24"/>
              </w:rPr>
              <w:t xml:space="preserve">getting back to customers on a timely basis and </w:t>
            </w:r>
            <w:r w:rsidR="00156252">
              <w:rPr>
                <w:rFonts w:ascii="Calibri" w:hAnsi="Calibri" w:cstheme="minorHAnsi"/>
                <w:sz w:val="22"/>
                <w:szCs w:val="24"/>
              </w:rPr>
              <w:t xml:space="preserve">accomplishing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your </w:t>
            </w:r>
            <w:r w:rsidR="00211F7E">
              <w:rPr>
                <w:rFonts w:ascii="Calibri" w:hAnsi="Calibri" w:cstheme="minorHAnsi"/>
                <w:sz w:val="22"/>
                <w:szCs w:val="24"/>
              </w:rPr>
              <w:t xml:space="preserve">work </w:t>
            </w:r>
            <w:r w:rsidR="00156252">
              <w:rPr>
                <w:rFonts w:ascii="Calibri" w:hAnsi="Calibri" w:cstheme="minorHAnsi"/>
                <w:sz w:val="22"/>
                <w:szCs w:val="24"/>
              </w:rPr>
              <w:t xml:space="preserve">assignments </w:t>
            </w:r>
            <w:r w:rsidR="0087637A">
              <w:rPr>
                <w:rFonts w:ascii="Calibri" w:hAnsi="Calibri" w:cstheme="minorHAnsi"/>
                <w:sz w:val="22"/>
                <w:szCs w:val="24"/>
              </w:rPr>
              <w:t>must be</w:t>
            </w:r>
            <w:r w:rsidR="00156252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4"/>
              </w:rPr>
              <w:t>your</w:t>
            </w:r>
            <w:r w:rsidR="00156252">
              <w:rPr>
                <w:rFonts w:ascii="Calibri" w:hAnsi="Calibri" w:cstheme="minorHAnsi"/>
                <w:sz w:val="22"/>
                <w:szCs w:val="24"/>
              </w:rPr>
              <w:t xml:space="preserve"> first priority</w:t>
            </w:r>
            <w:r w:rsidR="00C747D0">
              <w:rPr>
                <w:rFonts w:ascii="Calibri" w:hAnsi="Calibri" w:cstheme="minorHAnsi"/>
                <w:sz w:val="22"/>
                <w:szCs w:val="24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0767B" w:rsidRPr="008B7516" w:rsidRDefault="00E0767B" w:rsidP="008B75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Cs w:val="24"/>
              </w:rPr>
            </w:pPr>
            <w:r w:rsidRPr="008B7516">
              <w:rPr>
                <w:rFonts w:ascii="Calibri" w:hAnsi="Calibri" w:cstheme="minorHAnsi"/>
                <w:szCs w:val="24"/>
              </w:rPr>
              <w:t>M</w:t>
            </w:r>
            <w:r w:rsidR="00156252" w:rsidRPr="008B7516">
              <w:rPr>
                <w:rFonts w:ascii="Calibri" w:hAnsi="Calibri" w:cstheme="minorHAnsi"/>
                <w:szCs w:val="24"/>
              </w:rPr>
              <w:t>ake every effort to</w:t>
            </w:r>
            <w:r w:rsidR="00C747D0" w:rsidRPr="008B7516">
              <w:rPr>
                <w:rFonts w:ascii="Calibri" w:hAnsi="Calibri" w:cstheme="minorHAnsi"/>
                <w:szCs w:val="24"/>
              </w:rPr>
              <w:t xml:space="preserve"> </w:t>
            </w:r>
            <w:r w:rsidR="00FD39A8" w:rsidRPr="008B7516">
              <w:rPr>
                <w:rFonts w:ascii="Calibri" w:hAnsi="Calibri" w:cstheme="minorHAnsi"/>
                <w:szCs w:val="24"/>
              </w:rPr>
              <w:t xml:space="preserve">return customer calls within two business days.  </w:t>
            </w:r>
          </w:p>
          <w:p w:rsidR="00E0767B" w:rsidRPr="008B7516" w:rsidRDefault="00E0767B" w:rsidP="008B75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Cs w:val="24"/>
              </w:rPr>
            </w:pPr>
            <w:r w:rsidRPr="008B7516">
              <w:rPr>
                <w:rFonts w:ascii="Calibri" w:hAnsi="Calibri" w:cstheme="minorHAnsi"/>
                <w:szCs w:val="24"/>
              </w:rPr>
              <w:t>K</w:t>
            </w:r>
            <w:r w:rsidR="00156252" w:rsidRPr="008B7516">
              <w:rPr>
                <w:rFonts w:ascii="Calibri" w:hAnsi="Calibri" w:cstheme="minorHAnsi"/>
                <w:szCs w:val="24"/>
              </w:rPr>
              <w:t>eep a log of calls</w:t>
            </w:r>
            <w:r w:rsidR="00C747D0" w:rsidRPr="008B7516">
              <w:rPr>
                <w:rFonts w:ascii="Calibri" w:hAnsi="Calibri" w:cstheme="minorHAnsi"/>
                <w:szCs w:val="24"/>
              </w:rPr>
              <w:t xml:space="preserve"> received and returned </w:t>
            </w:r>
            <w:r w:rsidR="00156252" w:rsidRPr="008B7516">
              <w:rPr>
                <w:rFonts w:ascii="Calibri" w:hAnsi="Calibri" w:cstheme="minorHAnsi"/>
                <w:szCs w:val="24"/>
              </w:rPr>
              <w:t xml:space="preserve">so that </w:t>
            </w:r>
            <w:r w:rsidR="004D2EAE">
              <w:rPr>
                <w:rFonts w:ascii="Calibri" w:hAnsi="Calibri" w:cstheme="minorHAnsi"/>
                <w:szCs w:val="24"/>
              </w:rPr>
              <w:t>you</w:t>
            </w:r>
            <w:r w:rsidR="00156252" w:rsidRPr="008B7516">
              <w:rPr>
                <w:rFonts w:ascii="Calibri" w:hAnsi="Calibri" w:cstheme="minorHAnsi"/>
                <w:szCs w:val="24"/>
              </w:rPr>
              <w:t xml:space="preserve"> can </w:t>
            </w:r>
            <w:r w:rsidR="0087637A" w:rsidRPr="008B7516">
              <w:rPr>
                <w:rFonts w:ascii="Calibri" w:hAnsi="Calibri" w:cstheme="minorHAnsi"/>
                <w:szCs w:val="24"/>
              </w:rPr>
              <w:t>ensure</w:t>
            </w:r>
            <w:r w:rsidR="00156252" w:rsidRPr="008B7516">
              <w:rPr>
                <w:rFonts w:ascii="Calibri" w:hAnsi="Calibri" w:cstheme="minorHAnsi"/>
                <w:szCs w:val="24"/>
              </w:rPr>
              <w:t xml:space="preserve"> that the two day response is being accomplished</w:t>
            </w:r>
            <w:r w:rsidR="0087637A" w:rsidRPr="008B7516">
              <w:rPr>
                <w:rFonts w:ascii="Calibri" w:hAnsi="Calibri" w:cstheme="minorHAnsi"/>
                <w:szCs w:val="24"/>
              </w:rPr>
              <w:t xml:space="preserve">.  </w:t>
            </w:r>
          </w:p>
          <w:p w:rsidR="00D0531E" w:rsidRPr="008B7516" w:rsidRDefault="00E0767B" w:rsidP="008B75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 w:rsidRPr="008B7516">
              <w:rPr>
                <w:rFonts w:ascii="Calibri" w:hAnsi="Calibri" w:cstheme="minorHAnsi"/>
                <w:szCs w:val="24"/>
              </w:rPr>
              <w:t>V</w:t>
            </w:r>
            <w:r w:rsidR="0087637A" w:rsidRPr="008B7516">
              <w:rPr>
                <w:rFonts w:ascii="Calibri" w:hAnsi="Calibri" w:cstheme="minorHAnsi"/>
                <w:szCs w:val="24"/>
              </w:rPr>
              <w:t xml:space="preserve">erify that all </w:t>
            </w:r>
            <w:r w:rsidR="008B7516" w:rsidRPr="008B7516">
              <w:rPr>
                <w:rFonts w:ascii="Calibri" w:hAnsi="Calibri" w:cstheme="minorHAnsi"/>
                <w:szCs w:val="24"/>
              </w:rPr>
              <w:t xml:space="preserve">your assigned </w:t>
            </w:r>
            <w:r w:rsidR="0087637A" w:rsidRPr="008B7516">
              <w:rPr>
                <w:rFonts w:ascii="Calibri" w:hAnsi="Calibri" w:cstheme="minorHAnsi"/>
                <w:szCs w:val="24"/>
              </w:rPr>
              <w:t xml:space="preserve">job duties are completed before </w:t>
            </w:r>
            <w:r w:rsidR="00211F7E" w:rsidRPr="008B7516">
              <w:rPr>
                <w:rFonts w:ascii="Calibri" w:hAnsi="Calibri" w:cstheme="minorHAnsi"/>
                <w:szCs w:val="24"/>
              </w:rPr>
              <w:t>assisting</w:t>
            </w:r>
            <w:r w:rsidR="0087637A" w:rsidRPr="008B7516">
              <w:rPr>
                <w:rFonts w:ascii="Calibri" w:hAnsi="Calibri" w:cstheme="minorHAnsi"/>
                <w:szCs w:val="24"/>
              </w:rPr>
              <w:t xml:space="preserve"> others.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531E" w:rsidRPr="00FE5698" w:rsidRDefault="00D0531E" w:rsidP="006322F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0531E" w:rsidRPr="00FE5698" w:rsidRDefault="0087637A" w:rsidP="006322F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t>One Month</w:t>
            </w:r>
          </w:p>
        </w:tc>
      </w:tr>
      <w:tr w:rsidR="00FD39A8" w:rsidRPr="00FE5698" w:rsidTr="008B7516">
        <w:trPr>
          <w:trHeight w:val="620"/>
        </w:trPr>
        <w:tc>
          <w:tcPr>
            <w:tcW w:w="1098" w:type="dxa"/>
          </w:tcPr>
          <w:p w:rsidR="00FD39A8" w:rsidRPr="00FE5698" w:rsidRDefault="00FD39A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lastRenderedPageBreak/>
              <w:t>11/15</w:t>
            </w:r>
            <w:r w:rsidRPr="00FE5698">
              <w:rPr>
                <w:rFonts w:ascii="Calibri" w:hAnsi="Calibri" w:cstheme="minorHAnsi"/>
                <w:sz w:val="22"/>
                <w:szCs w:val="24"/>
              </w:rPr>
              <w:t>/1</w:t>
            </w:r>
            <w:r>
              <w:rPr>
                <w:rFonts w:ascii="Calibri" w:hAnsi="Calibri" w:cstheme="minorHAnsi"/>
                <w:sz w:val="22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FD39A8" w:rsidRPr="00FE5698" w:rsidRDefault="0087637A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 w:cstheme="minorHAnsi"/>
                <w:sz w:val="22"/>
                <w:szCs w:val="24"/>
              </w:rPr>
              <w:t>Sup</w:t>
            </w:r>
            <w:r w:rsidR="00211F7E">
              <w:rPr>
                <w:rFonts w:ascii="Calibri" w:hAnsi="Calibri" w:cstheme="minorHAnsi"/>
                <w:sz w:val="22"/>
                <w:szCs w:val="24"/>
              </w:rPr>
              <w:t>v</w:t>
            </w:r>
            <w:proofErr w:type="spellEnd"/>
            <w:r>
              <w:rPr>
                <w:rFonts w:ascii="Calibri" w:hAnsi="Calibri" w:cstheme="minorHAnsi"/>
                <w:sz w:val="22"/>
                <w:szCs w:val="24"/>
              </w:rPr>
              <w:t xml:space="preserve"> Office</w:t>
            </w:r>
          </w:p>
        </w:tc>
        <w:tc>
          <w:tcPr>
            <w:tcW w:w="990" w:type="dxa"/>
            <w:shd w:val="clear" w:color="auto" w:fill="auto"/>
          </w:tcPr>
          <w:p w:rsidR="00FD39A8" w:rsidRPr="000C0E36" w:rsidRDefault="00211F7E">
            <w:pPr>
              <w:rPr>
                <w:rFonts w:ascii="Calibri" w:hAnsi="Calibri"/>
                <w:sz w:val="22"/>
              </w:rPr>
            </w:pPr>
            <w:r w:rsidRPr="000C0E36">
              <w:rPr>
                <w:rFonts w:ascii="Calibri" w:hAnsi="Calibri"/>
                <w:sz w:val="22"/>
              </w:rPr>
              <w:t>Jane Doe</w:t>
            </w:r>
          </w:p>
        </w:tc>
        <w:tc>
          <w:tcPr>
            <w:tcW w:w="4320" w:type="dxa"/>
            <w:shd w:val="clear" w:color="auto" w:fill="auto"/>
          </w:tcPr>
          <w:p w:rsidR="008B7516" w:rsidRDefault="0087637A" w:rsidP="008B7516">
            <w:pPr>
              <w:rPr>
                <w:rFonts w:ascii="Calibri" w:hAnsi="Calibri" w:cstheme="minorHAnsi"/>
                <w:sz w:val="22"/>
                <w:szCs w:val="24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t>Great job for returning 100% of calls within t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>he t</w:t>
            </w:r>
            <w:r>
              <w:rPr>
                <w:rFonts w:ascii="Calibri" w:hAnsi="Calibri" w:cstheme="minorHAnsi"/>
                <w:sz w:val="22"/>
                <w:szCs w:val="24"/>
              </w:rPr>
              <w:t>wo day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standard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.  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In most cases </w:t>
            </w:r>
            <w:r w:rsidR="008B7516">
              <w:rPr>
                <w:rFonts w:ascii="Calibri" w:hAnsi="Calibri" w:cstheme="minorHAnsi"/>
                <w:sz w:val="22"/>
                <w:szCs w:val="24"/>
              </w:rPr>
              <w:t>you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 exceeded the standard by 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>returning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 customer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call</w:t>
            </w:r>
            <w:r>
              <w:rPr>
                <w:rFonts w:ascii="Calibri" w:hAnsi="Calibri" w:cstheme="minorHAnsi"/>
                <w:sz w:val="22"/>
                <w:szCs w:val="24"/>
              </w:rPr>
              <w:t>s the same day</w:t>
            </w:r>
            <w:r w:rsidR="00FD39A8" w:rsidRPr="00FE5698">
              <w:rPr>
                <w:rFonts w:ascii="Calibri" w:hAnsi="Calibri" w:cstheme="minorHAnsi"/>
                <w:sz w:val="22"/>
                <w:szCs w:val="24"/>
              </w:rPr>
              <w:t>.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  </w:t>
            </w:r>
          </w:p>
          <w:p w:rsidR="008B7516" w:rsidRDefault="008B7516" w:rsidP="008B7516">
            <w:pPr>
              <w:rPr>
                <w:rFonts w:ascii="Calibri" w:hAnsi="Calibri" w:cstheme="minorHAnsi"/>
                <w:sz w:val="22"/>
                <w:szCs w:val="24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t>You shared that you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no longer feel 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>challenged by the job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 and believe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that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you have 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time to help others but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did not think you could based on 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our last discussion. 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</w:p>
          <w:p w:rsidR="00FD39A8" w:rsidRPr="00FE5698" w:rsidRDefault="008B7516" w:rsidP="008B751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t>I c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larified that </w:t>
            </w:r>
            <w:r>
              <w:rPr>
                <w:rFonts w:ascii="Calibri" w:hAnsi="Calibri" w:cstheme="minorHAnsi"/>
                <w:sz w:val="22"/>
                <w:szCs w:val="24"/>
              </w:rPr>
              <w:t xml:space="preserve">although your 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job </w:t>
            </w:r>
            <w:r>
              <w:rPr>
                <w:rFonts w:ascii="Calibri" w:hAnsi="Calibri" w:cstheme="minorHAnsi"/>
                <w:sz w:val="22"/>
                <w:szCs w:val="24"/>
              </w:rPr>
              <w:t>duties are your first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p</w:t>
            </w:r>
            <w:r>
              <w:rPr>
                <w:rFonts w:ascii="Calibri" w:hAnsi="Calibri" w:cstheme="minorHAnsi"/>
                <w:sz w:val="22"/>
                <w:szCs w:val="24"/>
              </w:rPr>
              <w:t>riority, you are free to help others when you are finished with your assigned work.</w:t>
            </w:r>
            <w:r w:rsidR="00ED11B3">
              <w:rPr>
                <w:rFonts w:ascii="Calibri" w:hAnsi="Calibr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B7516" w:rsidRDefault="00CC6539" w:rsidP="008B751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8B7516">
              <w:rPr>
                <w:rFonts w:ascii="Calibri" w:hAnsi="Calibri"/>
              </w:rPr>
              <w:t xml:space="preserve">As the workflow allows, </w:t>
            </w:r>
            <w:r w:rsidR="008B7516">
              <w:rPr>
                <w:rFonts w:ascii="Calibri" w:hAnsi="Calibri"/>
              </w:rPr>
              <w:t xml:space="preserve">I </w:t>
            </w:r>
            <w:r w:rsidRPr="008B7516">
              <w:rPr>
                <w:rFonts w:ascii="Calibri" w:hAnsi="Calibri"/>
              </w:rPr>
              <w:t xml:space="preserve">will </w:t>
            </w:r>
            <w:r w:rsidR="008B7516">
              <w:rPr>
                <w:rFonts w:ascii="Calibri" w:hAnsi="Calibri"/>
              </w:rPr>
              <w:t>set up some</w:t>
            </w:r>
            <w:r w:rsidRPr="008B7516">
              <w:rPr>
                <w:rFonts w:ascii="Calibri" w:hAnsi="Calibri"/>
              </w:rPr>
              <w:t xml:space="preserve"> cross-training </w:t>
            </w:r>
            <w:r w:rsidR="008B7516">
              <w:rPr>
                <w:rFonts w:ascii="Calibri" w:hAnsi="Calibri"/>
              </w:rPr>
              <w:t>for you</w:t>
            </w:r>
            <w:r w:rsidRPr="008B7516">
              <w:rPr>
                <w:rFonts w:ascii="Calibri" w:hAnsi="Calibri"/>
              </w:rPr>
              <w:t xml:space="preserve"> so that </w:t>
            </w:r>
            <w:r w:rsidR="008B7516">
              <w:rPr>
                <w:rFonts w:ascii="Calibri" w:hAnsi="Calibri"/>
              </w:rPr>
              <w:t>you</w:t>
            </w:r>
            <w:r w:rsidRPr="008B7516">
              <w:rPr>
                <w:rFonts w:ascii="Calibri" w:hAnsi="Calibri"/>
              </w:rPr>
              <w:t xml:space="preserve"> can </w:t>
            </w:r>
            <w:r w:rsidR="008B7516">
              <w:rPr>
                <w:rFonts w:ascii="Calibri" w:hAnsi="Calibri"/>
              </w:rPr>
              <w:t>assist with or eventually back up other functions in our department.</w:t>
            </w:r>
          </w:p>
          <w:p w:rsidR="00EA0A80" w:rsidRPr="002D62A9" w:rsidRDefault="004D2EAE" w:rsidP="00EA0A8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Track the </w:t>
            </w:r>
            <w:r w:rsidR="003A6FD8" w:rsidRPr="002D62A9">
              <w:rPr>
                <w:rFonts w:ascii="Calibri" w:hAnsi="Calibri"/>
              </w:rPr>
              <w:t>periods of inactivity</w:t>
            </w:r>
            <w:r w:rsidR="00CC6539" w:rsidRPr="002D62A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you </w:t>
            </w:r>
            <w:r w:rsidR="00CC6539" w:rsidRPr="002D62A9">
              <w:rPr>
                <w:rFonts w:ascii="Calibri" w:hAnsi="Calibri"/>
              </w:rPr>
              <w:t xml:space="preserve">during </w:t>
            </w:r>
            <w:r w:rsidR="00EA0A80" w:rsidRPr="002D62A9">
              <w:rPr>
                <w:rFonts w:ascii="Calibri" w:hAnsi="Calibri"/>
              </w:rPr>
              <w:t>your</w:t>
            </w:r>
            <w:r w:rsidR="00CC6539" w:rsidRPr="002D62A9">
              <w:rPr>
                <w:rFonts w:ascii="Calibri" w:hAnsi="Calibri"/>
              </w:rPr>
              <w:t xml:space="preserve"> workday.  </w:t>
            </w:r>
            <w:r w:rsidR="002D62A9" w:rsidRPr="002D62A9">
              <w:rPr>
                <w:rFonts w:ascii="Calibri" w:hAnsi="Calibri"/>
              </w:rPr>
              <w:t>We</w:t>
            </w:r>
            <w:r w:rsidR="002D62A9">
              <w:rPr>
                <w:rFonts w:ascii="Calibri" w:hAnsi="Calibri"/>
              </w:rPr>
              <w:t xml:space="preserve">’ll review it at our next meeting &amp; discuss </w:t>
            </w:r>
            <w:r w:rsidR="00CC6539" w:rsidRPr="002D62A9">
              <w:rPr>
                <w:rFonts w:ascii="Calibri" w:hAnsi="Calibri"/>
              </w:rPr>
              <w:t xml:space="preserve">a </w:t>
            </w:r>
            <w:r w:rsidR="002D62A9">
              <w:rPr>
                <w:rFonts w:ascii="Calibri" w:hAnsi="Calibri"/>
              </w:rPr>
              <w:t xml:space="preserve">possible cross training </w:t>
            </w:r>
            <w:r w:rsidR="003A6FD8" w:rsidRPr="002D62A9">
              <w:rPr>
                <w:rFonts w:ascii="Calibri" w:hAnsi="Calibri"/>
              </w:rPr>
              <w:t>schedule</w:t>
            </w:r>
            <w:r w:rsidR="00211F7E" w:rsidRPr="002D62A9">
              <w:rPr>
                <w:rFonts w:ascii="Calibri" w:hAnsi="Calibri"/>
              </w:rPr>
              <w:t xml:space="preserve">  </w:t>
            </w:r>
          </w:p>
          <w:p w:rsidR="00FD39A8" w:rsidRPr="008B7516" w:rsidRDefault="008F24CE" w:rsidP="008B446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8B7516">
              <w:rPr>
                <w:rFonts w:ascii="Calibri" w:hAnsi="Calibri"/>
              </w:rPr>
              <w:t xml:space="preserve">If after training </w:t>
            </w:r>
            <w:r w:rsidR="00EA0A80">
              <w:rPr>
                <w:rFonts w:ascii="Calibri" w:hAnsi="Calibri"/>
              </w:rPr>
              <w:t xml:space="preserve">you are </w:t>
            </w:r>
            <w:r w:rsidRPr="008B7516">
              <w:rPr>
                <w:rFonts w:ascii="Calibri" w:hAnsi="Calibri"/>
              </w:rPr>
              <w:t xml:space="preserve">able to </w:t>
            </w:r>
            <w:r w:rsidR="003A6FD8" w:rsidRPr="008B7516">
              <w:rPr>
                <w:rFonts w:ascii="Calibri" w:hAnsi="Calibri"/>
              </w:rPr>
              <w:t>assist</w:t>
            </w:r>
            <w:r w:rsidRPr="008B7516">
              <w:rPr>
                <w:rFonts w:ascii="Calibri" w:hAnsi="Calibri"/>
              </w:rPr>
              <w:t xml:space="preserve"> others on a regular basis</w:t>
            </w:r>
            <w:r w:rsidR="00EA0A80">
              <w:rPr>
                <w:rFonts w:ascii="Calibri" w:hAnsi="Calibri"/>
              </w:rPr>
              <w:t xml:space="preserve"> without </w:t>
            </w:r>
            <w:r w:rsidR="008B446F">
              <w:rPr>
                <w:rFonts w:ascii="Calibri" w:hAnsi="Calibri"/>
              </w:rPr>
              <w:t xml:space="preserve">it </w:t>
            </w:r>
            <w:r w:rsidR="00EA0A80">
              <w:rPr>
                <w:rFonts w:ascii="Calibri" w:hAnsi="Calibri"/>
              </w:rPr>
              <w:t xml:space="preserve">negatively impacting your work, we may consider adding those duties </w:t>
            </w:r>
            <w:r w:rsidRPr="008B7516">
              <w:rPr>
                <w:rFonts w:ascii="Calibri" w:hAnsi="Calibri"/>
              </w:rPr>
              <w:t xml:space="preserve">to </w:t>
            </w:r>
            <w:r w:rsidR="00EA0A80">
              <w:rPr>
                <w:rFonts w:ascii="Calibri" w:hAnsi="Calibri"/>
              </w:rPr>
              <w:t xml:space="preserve">your </w:t>
            </w:r>
            <w:r w:rsidR="008B446F">
              <w:rPr>
                <w:rFonts w:ascii="Calibri" w:hAnsi="Calibri"/>
              </w:rPr>
              <w:t>job description after reviewing the changes with HR.</w:t>
            </w:r>
            <w:r w:rsidR="003A6FD8" w:rsidRPr="008B7516">
              <w:rPr>
                <w:rFonts w:ascii="Calibri" w:hAnsi="Calibri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FD39A8" w:rsidRPr="000C0E36" w:rsidRDefault="004D2EAE" w:rsidP="004D2E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Arrange for c</w:t>
            </w:r>
            <w:r w:rsidR="003A6FD8" w:rsidRPr="000C0E36">
              <w:rPr>
                <w:rFonts w:ascii="Calibri" w:hAnsi="Calibri"/>
                <w:sz w:val="22"/>
              </w:rPr>
              <w:t>ross-training as time permits</w:t>
            </w:r>
          </w:p>
        </w:tc>
        <w:tc>
          <w:tcPr>
            <w:tcW w:w="1350" w:type="dxa"/>
            <w:shd w:val="clear" w:color="auto" w:fill="auto"/>
          </w:tcPr>
          <w:p w:rsidR="00FD39A8" w:rsidRPr="00FE5698" w:rsidRDefault="00FD39A8" w:rsidP="00CC653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theme="minorHAnsi"/>
                <w:sz w:val="22"/>
                <w:szCs w:val="24"/>
              </w:rPr>
              <w:t>12</w:t>
            </w:r>
            <w:r w:rsidRPr="00FE5698">
              <w:rPr>
                <w:rFonts w:ascii="Calibri" w:hAnsi="Calibri" w:cstheme="minorHAnsi"/>
                <w:sz w:val="22"/>
                <w:szCs w:val="24"/>
              </w:rPr>
              <w:t>/</w:t>
            </w:r>
            <w:r w:rsidR="00CC6539">
              <w:rPr>
                <w:rFonts w:ascii="Calibri" w:hAnsi="Calibri" w:cstheme="minorHAnsi"/>
                <w:sz w:val="22"/>
                <w:szCs w:val="24"/>
              </w:rPr>
              <w:t>31</w:t>
            </w:r>
            <w:r w:rsidRPr="00FE5698">
              <w:rPr>
                <w:rFonts w:ascii="Calibri" w:hAnsi="Calibri" w:cstheme="minorHAnsi"/>
                <w:sz w:val="22"/>
                <w:szCs w:val="24"/>
              </w:rPr>
              <w:t>/1</w:t>
            </w:r>
            <w:r>
              <w:rPr>
                <w:rFonts w:ascii="Calibri" w:hAnsi="Calibri" w:cstheme="minorHAnsi"/>
                <w:sz w:val="22"/>
                <w:szCs w:val="24"/>
              </w:rPr>
              <w:t>2</w:t>
            </w:r>
          </w:p>
        </w:tc>
      </w:tr>
      <w:tr w:rsidR="00FD39A8" w:rsidRPr="00FE5698" w:rsidTr="008B7516">
        <w:tblPrEx>
          <w:tblLook w:val="04A0"/>
        </w:tblPrEx>
        <w:trPr>
          <w:trHeight w:val="1152"/>
        </w:trPr>
        <w:tc>
          <w:tcPr>
            <w:tcW w:w="1098" w:type="dxa"/>
          </w:tcPr>
          <w:p w:rsidR="00FD39A8" w:rsidRPr="00FE5698" w:rsidRDefault="00FD39A8" w:rsidP="00B22F3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</w:tcPr>
          <w:p w:rsidR="00FD39A8" w:rsidRPr="00FE5698" w:rsidRDefault="00FD39A8" w:rsidP="00B22F3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90" w:type="dxa"/>
          </w:tcPr>
          <w:p w:rsidR="00FD39A8" w:rsidRPr="00FE5698" w:rsidRDefault="00FD39A8" w:rsidP="00B22F3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320" w:type="dxa"/>
          </w:tcPr>
          <w:p w:rsidR="00FD39A8" w:rsidRPr="00FE5698" w:rsidRDefault="00FD39A8" w:rsidP="00CB09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20" w:type="dxa"/>
          </w:tcPr>
          <w:p w:rsidR="00FD39A8" w:rsidRPr="00FE5698" w:rsidRDefault="00FD39A8" w:rsidP="00CB09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FD39A8" w:rsidRPr="00FE5698" w:rsidRDefault="00FD39A8" w:rsidP="00B22F3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350" w:type="dxa"/>
          </w:tcPr>
          <w:p w:rsidR="00FD39A8" w:rsidRPr="00FE5698" w:rsidRDefault="00FD39A8" w:rsidP="00B22F32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B22F32" w:rsidRPr="00FE5698" w:rsidRDefault="00B22F32">
      <w:pPr>
        <w:rPr>
          <w:rFonts w:ascii="Calibri" w:hAnsi="Calibri"/>
          <w:sz w:val="22"/>
        </w:rPr>
      </w:pPr>
    </w:p>
    <w:sectPr w:rsidR="00B22F32" w:rsidRPr="00FE5698" w:rsidSect="00895FA1">
      <w:headerReference w:type="default" r:id="rId7"/>
      <w:pgSz w:w="15840" w:h="12240" w:orient="landscape" w:code="1"/>
      <w:pgMar w:top="864" w:right="720" w:bottom="864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AE" w:rsidRDefault="004D2EAE">
      <w:r>
        <w:separator/>
      </w:r>
    </w:p>
  </w:endnote>
  <w:endnote w:type="continuationSeparator" w:id="0">
    <w:p w:rsidR="004D2EAE" w:rsidRDefault="004D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AE" w:rsidRDefault="004D2EAE">
      <w:r>
        <w:separator/>
      </w:r>
    </w:p>
  </w:footnote>
  <w:footnote w:type="continuationSeparator" w:id="0">
    <w:p w:rsidR="004D2EAE" w:rsidRDefault="004D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AE" w:rsidRPr="00AA23E6" w:rsidRDefault="004D2EAE" w:rsidP="0075200F">
    <w:pPr>
      <w:pStyle w:val="Header"/>
      <w:jc w:val="both"/>
      <w:rPr>
        <w:rFonts w:ascii="Palatino Linotype" w:hAnsi="Palatino Linotype"/>
        <w:b/>
        <w:color w:val="999999"/>
        <w:sz w:val="52"/>
        <w:szCs w:val="52"/>
      </w:rPr>
    </w:pPr>
    <w:r>
      <w:rPr>
        <w:rFonts w:ascii="Palatino Linotype" w:hAnsi="Palatino Linotype"/>
        <w:b/>
        <w:noProof/>
        <w:color w:val="999999"/>
        <w:sz w:val="52"/>
        <w:szCs w:val="52"/>
      </w:rPr>
      <w:drawing>
        <wp:inline distT="0" distB="0" distL="0" distR="0">
          <wp:extent cx="914400" cy="898470"/>
          <wp:effectExtent l="0" t="0" r="0" b="0"/>
          <wp:docPr id="1" name="Picture 0" descr="circle.pillar.logo.one.mission.top.for.web.ppt.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illar.logo.one.mission.top.for.web.ppt.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935" cy="89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b/>
        <w:noProof/>
        <w:color w:val="999999"/>
        <w:sz w:val="52"/>
        <w:szCs w:val="52"/>
      </w:rPr>
      <w:pict>
        <v:rect id="_x0000_s2049" style="position:absolute;left:0;text-align:left;margin-left:-35pt;margin-top:-.4pt;width:10in;height:544pt;z-index:251657728;mso-position-horizontal-relative:text;mso-position-vertical-relative:text" filled="f" stroked="f" strokeweight=".25pt"/>
      </w:pict>
    </w:r>
    <w:r>
      <w:rPr>
        <w:rFonts w:ascii="Palatino Linotype" w:hAnsi="Palatino Linotype"/>
        <w:b/>
        <w:color w:val="999999"/>
        <w:sz w:val="52"/>
        <w:szCs w:val="52"/>
      </w:rPr>
      <w:t xml:space="preserve"> </w:t>
    </w:r>
    <w:r w:rsidRPr="00E460D7">
      <w:rPr>
        <w:rFonts w:ascii="Palatino Linotype" w:hAnsi="Palatino Linotype"/>
        <w:b/>
        <w:color w:val="999999"/>
        <w:sz w:val="36"/>
        <w:szCs w:val="36"/>
      </w:rPr>
      <w:t>Employee Performance Log</w:t>
    </w:r>
    <w:r w:rsidRPr="00AA23E6">
      <w:rPr>
        <w:rFonts w:ascii="Palatino Linotype" w:hAnsi="Palatino Linotype"/>
        <w:b/>
        <w:color w:val="999999"/>
        <w:sz w:val="52"/>
        <w:szCs w:val="52"/>
      </w:rPr>
      <w:t xml:space="preserve"> </w:t>
    </w:r>
  </w:p>
  <w:p w:rsidR="004D2EAE" w:rsidRDefault="004D2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A9B"/>
    <w:multiLevelType w:val="hybridMultilevel"/>
    <w:tmpl w:val="C5F24DEA"/>
    <w:lvl w:ilvl="0" w:tplc="86141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849"/>
    <w:multiLevelType w:val="hybridMultilevel"/>
    <w:tmpl w:val="CA64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2F49"/>
    <w:multiLevelType w:val="hybridMultilevel"/>
    <w:tmpl w:val="6EC60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82F1A"/>
    <w:multiLevelType w:val="hybridMultilevel"/>
    <w:tmpl w:val="6532C388"/>
    <w:lvl w:ilvl="0" w:tplc="9314E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0F"/>
    <w:rsid w:val="00033D69"/>
    <w:rsid w:val="000B047B"/>
    <w:rsid w:val="000C0E36"/>
    <w:rsid w:val="000C3716"/>
    <w:rsid w:val="000D3EB2"/>
    <w:rsid w:val="000D6D90"/>
    <w:rsid w:val="000E19AA"/>
    <w:rsid w:val="00156252"/>
    <w:rsid w:val="0016754D"/>
    <w:rsid w:val="001B293F"/>
    <w:rsid w:val="001C3DAF"/>
    <w:rsid w:val="001D5DD2"/>
    <w:rsid w:val="0020347F"/>
    <w:rsid w:val="00211F7E"/>
    <w:rsid w:val="002A6842"/>
    <w:rsid w:val="002C1147"/>
    <w:rsid w:val="002D62A9"/>
    <w:rsid w:val="00323EC1"/>
    <w:rsid w:val="0032658C"/>
    <w:rsid w:val="00330EDF"/>
    <w:rsid w:val="00344153"/>
    <w:rsid w:val="003657FD"/>
    <w:rsid w:val="003A6FD8"/>
    <w:rsid w:val="003C2446"/>
    <w:rsid w:val="003C4A95"/>
    <w:rsid w:val="003D29C9"/>
    <w:rsid w:val="00456CE8"/>
    <w:rsid w:val="00483C91"/>
    <w:rsid w:val="004A1461"/>
    <w:rsid w:val="004D2EAE"/>
    <w:rsid w:val="004E5A35"/>
    <w:rsid w:val="00510EA4"/>
    <w:rsid w:val="005320DB"/>
    <w:rsid w:val="0056180F"/>
    <w:rsid w:val="005B29CF"/>
    <w:rsid w:val="0062218D"/>
    <w:rsid w:val="006322F8"/>
    <w:rsid w:val="0069254C"/>
    <w:rsid w:val="00697D46"/>
    <w:rsid w:val="006B16BF"/>
    <w:rsid w:val="006C69AC"/>
    <w:rsid w:val="007424F4"/>
    <w:rsid w:val="00751037"/>
    <w:rsid w:val="0075200F"/>
    <w:rsid w:val="00755F2B"/>
    <w:rsid w:val="008172B6"/>
    <w:rsid w:val="0082422E"/>
    <w:rsid w:val="0084022D"/>
    <w:rsid w:val="008603D3"/>
    <w:rsid w:val="0087637A"/>
    <w:rsid w:val="00881173"/>
    <w:rsid w:val="00895FA1"/>
    <w:rsid w:val="008A3526"/>
    <w:rsid w:val="008B446F"/>
    <w:rsid w:val="008B495A"/>
    <w:rsid w:val="008B7516"/>
    <w:rsid w:val="008F24CE"/>
    <w:rsid w:val="0093426E"/>
    <w:rsid w:val="009406E7"/>
    <w:rsid w:val="009A43FC"/>
    <w:rsid w:val="009C454F"/>
    <w:rsid w:val="009C5F2B"/>
    <w:rsid w:val="009D3B72"/>
    <w:rsid w:val="009F7B3D"/>
    <w:rsid w:val="00A006B9"/>
    <w:rsid w:val="00A16C55"/>
    <w:rsid w:val="00A70284"/>
    <w:rsid w:val="00A8234F"/>
    <w:rsid w:val="00AA23E6"/>
    <w:rsid w:val="00AA34A6"/>
    <w:rsid w:val="00B01BC4"/>
    <w:rsid w:val="00B027FE"/>
    <w:rsid w:val="00B22F32"/>
    <w:rsid w:val="00B30FDE"/>
    <w:rsid w:val="00B37927"/>
    <w:rsid w:val="00B47386"/>
    <w:rsid w:val="00B561CB"/>
    <w:rsid w:val="00C37FA0"/>
    <w:rsid w:val="00C5788E"/>
    <w:rsid w:val="00C66DFC"/>
    <w:rsid w:val="00C747D0"/>
    <w:rsid w:val="00CB09FF"/>
    <w:rsid w:val="00CB0B87"/>
    <w:rsid w:val="00CB7D7C"/>
    <w:rsid w:val="00CC6539"/>
    <w:rsid w:val="00CD0DDC"/>
    <w:rsid w:val="00D0531E"/>
    <w:rsid w:val="00D13E8B"/>
    <w:rsid w:val="00D2497B"/>
    <w:rsid w:val="00D54F51"/>
    <w:rsid w:val="00D62071"/>
    <w:rsid w:val="00D63BD0"/>
    <w:rsid w:val="00DA2BCF"/>
    <w:rsid w:val="00E0767B"/>
    <w:rsid w:val="00E460D7"/>
    <w:rsid w:val="00E61A4B"/>
    <w:rsid w:val="00EA0A80"/>
    <w:rsid w:val="00EC3245"/>
    <w:rsid w:val="00ED11B3"/>
    <w:rsid w:val="00EF27A7"/>
    <w:rsid w:val="00F24F97"/>
    <w:rsid w:val="00F30698"/>
    <w:rsid w:val="00F520A2"/>
    <w:rsid w:val="00FD1197"/>
    <w:rsid w:val="00FD39A8"/>
    <w:rsid w:val="00FE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C5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00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7520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2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2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E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479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Log</vt:lpstr>
    </vt:vector>
  </TitlesOfParts>
  <Company>State of Missouri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Log</dc:title>
  <dc:creator>Kim Bisset</dc:creator>
  <cp:lastModifiedBy>kbisset</cp:lastModifiedBy>
  <cp:revision>6</cp:revision>
  <cp:lastPrinted>2013-03-20T20:29:00Z</cp:lastPrinted>
  <dcterms:created xsi:type="dcterms:W3CDTF">2013-03-20T21:06:00Z</dcterms:created>
  <dcterms:modified xsi:type="dcterms:W3CDTF">2013-05-15T23:04:00Z</dcterms:modified>
</cp:coreProperties>
</file>